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90A8A6">
      <w:pPr>
        <w:spacing w:after="156" w:afterLines="50" w:line="400" w:lineRule="exact"/>
        <w:rPr>
          <w:bCs/>
          <w:iCs/>
          <w:sz w:val="24"/>
        </w:rPr>
      </w:pPr>
      <w:r>
        <w:rPr>
          <w:bCs/>
          <w:iCs/>
          <w:sz w:val="24"/>
        </w:rPr>
        <w:t>证券代码：300238                                    证券简称：冠昊生物</w:t>
      </w:r>
    </w:p>
    <w:p w14:paraId="7CAEFE6A">
      <w:pPr>
        <w:spacing w:before="156" w:beforeLines="50" w:after="156" w:afterLines="50" w:line="400" w:lineRule="exact"/>
        <w:jc w:val="center"/>
        <w:rPr>
          <w:b/>
          <w:bCs/>
          <w:iCs/>
          <w:sz w:val="32"/>
          <w:szCs w:val="32"/>
        </w:rPr>
      </w:pPr>
      <w:r>
        <w:rPr>
          <w:b/>
          <w:bCs/>
          <w:iCs/>
          <w:sz w:val="32"/>
          <w:szCs w:val="32"/>
        </w:rPr>
        <w:t>冠昊生物科技股份有限公司</w:t>
      </w:r>
    </w:p>
    <w:p w14:paraId="7B477D1D">
      <w:pPr>
        <w:spacing w:before="156" w:beforeLines="50" w:after="156" w:afterLines="50" w:line="400" w:lineRule="exact"/>
        <w:jc w:val="center"/>
        <w:rPr>
          <w:b/>
          <w:bCs/>
          <w:iCs/>
          <w:sz w:val="32"/>
          <w:szCs w:val="32"/>
        </w:rPr>
      </w:pPr>
      <w:r>
        <w:rPr>
          <w:b/>
          <w:bCs/>
          <w:iCs/>
          <w:sz w:val="32"/>
          <w:szCs w:val="32"/>
        </w:rPr>
        <w:t>投资者关系活动记录表</w:t>
      </w:r>
    </w:p>
    <w:p w14:paraId="66ED1AC5">
      <w:pPr>
        <w:spacing w:line="400" w:lineRule="exact"/>
        <w:jc w:val="right"/>
        <w:rPr>
          <w:rFonts w:hint="eastAsia" w:eastAsia="宋体"/>
          <w:bCs/>
          <w:iCs/>
          <w:sz w:val="24"/>
          <w:lang w:eastAsia="zh-CN"/>
        </w:rPr>
      </w:pPr>
      <w:r>
        <w:rPr>
          <w:bCs/>
          <w:iCs/>
          <w:sz w:val="24"/>
        </w:rPr>
        <w:t>编号：20</w:t>
      </w:r>
      <w:r>
        <w:rPr>
          <w:rFonts w:hint="eastAsia"/>
          <w:bCs/>
          <w:iCs/>
          <w:sz w:val="24"/>
        </w:rPr>
        <w:t>2</w:t>
      </w:r>
      <w:r>
        <w:rPr>
          <w:rFonts w:hint="eastAsia"/>
          <w:bCs/>
          <w:iCs/>
          <w:sz w:val="24"/>
          <w:lang w:val="en-US" w:eastAsia="zh-CN"/>
        </w:rPr>
        <w:t>5</w:t>
      </w:r>
      <w:r>
        <w:rPr>
          <w:bCs/>
          <w:iCs/>
          <w:sz w:val="24"/>
        </w:rPr>
        <w:t>-00</w:t>
      </w:r>
      <w:r>
        <w:rPr>
          <w:rFonts w:hint="eastAsia"/>
          <w:bCs/>
          <w:iCs/>
          <w:sz w:val="24"/>
          <w:lang w:val="en-US" w:eastAsia="zh-CN"/>
        </w:rPr>
        <w:t>1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6854"/>
      </w:tblGrid>
      <w:tr w14:paraId="0562DC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6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7A3077">
            <w:pPr>
              <w:spacing w:line="480" w:lineRule="atLeast"/>
              <w:jc w:val="center"/>
              <w:rPr>
                <w:bCs/>
                <w:iCs/>
                <w:sz w:val="24"/>
              </w:rPr>
            </w:pPr>
            <w:r>
              <w:rPr>
                <w:bCs/>
                <w:iCs/>
                <w:sz w:val="24"/>
              </w:rPr>
              <w:t>投资者关系活动类别</w:t>
            </w:r>
          </w:p>
        </w:tc>
        <w:tc>
          <w:tcPr>
            <w:tcW w:w="6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2FAA66">
            <w:pPr>
              <w:spacing w:line="480" w:lineRule="atLeast"/>
              <w:rPr>
                <w:bCs/>
                <w:iCs/>
                <w:sz w:val="24"/>
              </w:rPr>
            </w:pPr>
            <w:r>
              <w:rPr>
                <w:rFonts w:hint="eastAsia"/>
                <w:bCs/>
                <w:iCs/>
                <w:color w:val="000000"/>
                <w:szCs w:val="21"/>
              </w:rPr>
              <w:t>□</w:t>
            </w:r>
            <w:r>
              <w:rPr>
                <w:sz w:val="24"/>
              </w:rPr>
              <w:t xml:space="preserve">特定对象调研       </w:t>
            </w:r>
            <w:r>
              <w:rPr>
                <w:rFonts w:hint="eastAsia"/>
                <w:bCs/>
                <w:iCs/>
                <w:color w:val="000000"/>
                <w:szCs w:val="21"/>
              </w:rPr>
              <w:t>□</w:t>
            </w:r>
            <w:r>
              <w:rPr>
                <w:sz w:val="24"/>
              </w:rPr>
              <w:t>分析师会议</w:t>
            </w:r>
          </w:p>
          <w:p w14:paraId="248DF341">
            <w:pPr>
              <w:spacing w:line="480" w:lineRule="atLeast"/>
              <w:rPr>
                <w:bCs/>
                <w:iCs/>
                <w:sz w:val="24"/>
              </w:rPr>
            </w:pPr>
            <w:r>
              <w:rPr>
                <w:rFonts w:hint="eastAsia"/>
                <w:bCs/>
                <w:iCs/>
                <w:color w:val="000000"/>
                <w:szCs w:val="21"/>
              </w:rPr>
              <w:t>□</w:t>
            </w:r>
            <w:r>
              <w:rPr>
                <w:sz w:val="24"/>
              </w:rPr>
              <w:t xml:space="preserve">媒体采访           </w:t>
            </w:r>
            <w:r>
              <w:rPr>
                <w:rFonts w:hint="eastAsia"/>
                <w:bCs/>
                <w:iCs/>
                <w:color w:val="000000"/>
                <w:szCs w:val="21"/>
              </w:rPr>
              <w:t>☑</w:t>
            </w:r>
            <w:r>
              <w:rPr>
                <w:sz w:val="24"/>
              </w:rPr>
              <w:t>业绩说明会</w:t>
            </w:r>
          </w:p>
          <w:p w14:paraId="19C25E64">
            <w:pPr>
              <w:spacing w:line="480" w:lineRule="atLeast"/>
              <w:rPr>
                <w:bCs/>
                <w:iCs/>
                <w:sz w:val="24"/>
              </w:rPr>
            </w:pPr>
            <w:r>
              <w:rPr>
                <w:rFonts w:hint="eastAsia"/>
                <w:bCs/>
                <w:iCs/>
                <w:color w:val="000000"/>
                <w:szCs w:val="21"/>
              </w:rPr>
              <w:t>□</w:t>
            </w:r>
            <w:r>
              <w:rPr>
                <w:sz w:val="24"/>
              </w:rPr>
              <w:t xml:space="preserve">新闻发布会         </w:t>
            </w:r>
            <w:r>
              <w:rPr>
                <w:rFonts w:hint="eastAsia"/>
                <w:bCs/>
                <w:iCs/>
                <w:color w:val="000000"/>
                <w:szCs w:val="21"/>
              </w:rPr>
              <w:t>□</w:t>
            </w:r>
            <w:r>
              <w:rPr>
                <w:sz w:val="24"/>
              </w:rPr>
              <w:t>路演活动</w:t>
            </w:r>
          </w:p>
          <w:p w14:paraId="5FCECAAE">
            <w:pPr>
              <w:tabs>
                <w:tab w:val="left" w:pos="3045"/>
                <w:tab w:val="center" w:pos="3199"/>
              </w:tabs>
              <w:spacing w:after="156" w:afterLines="50" w:line="480" w:lineRule="atLeast"/>
              <w:rPr>
                <w:bCs/>
                <w:iCs/>
                <w:sz w:val="24"/>
              </w:rPr>
            </w:pPr>
            <w:r>
              <w:rPr>
                <w:rFonts w:hint="eastAsia"/>
                <w:bCs/>
                <w:iCs/>
                <w:color w:val="000000"/>
                <w:szCs w:val="21"/>
              </w:rPr>
              <w:t>□</w:t>
            </w:r>
            <w:r>
              <w:rPr>
                <w:sz w:val="24"/>
              </w:rPr>
              <w:t>现场参观</w:t>
            </w:r>
            <w:r>
              <w:rPr>
                <w:rFonts w:hint="eastAsia"/>
                <w:bCs/>
                <w:iCs/>
                <w:sz w:val="24"/>
              </w:rPr>
              <w:t xml:space="preserve">           </w:t>
            </w:r>
            <w:r>
              <w:rPr>
                <w:rFonts w:hint="eastAsia"/>
                <w:bCs/>
                <w:iCs/>
                <w:color w:val="000000"/>
                <w:szCs w:val="21"/>
              </w:rPr>
              <w:t>□</w:t>
            </w:r>
            <w:r>
              <w:rPr>
                <w:sz w:val="24"/>
              </w:rPr>
              <w:t xml:space="preserve">其他 </w:t>
            </w:r>
            <w:r>
              <w:rPr>
                <w:sz w:val="24"/>
                <w:u w:val="single"/>
              </w:rPr>
              <w:t xml:space="preserve">              </w:t>
            </w:r>
          </w:p>
        </w:tc>
      </w:tr>
      <w:tr w14:paraId="51FD0B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C086EF">
            <w:pPr>
              <w:spacing w:line="480" w:lineRule="atLeast"/>
              <w:jc w:val="center"/>
              <w:rPr>
                <w:bCs/>
                <w:iCs/>
                <w:sz w:val="24"/>
                <w:highlight w:val="yellow"/>
              </w:rPr>
            </w:pPr>
            <w:r>
              <w:rPr>
                <w:bCs/>
                <w:iCs/>
                <w:sz w:val="24"/>
              </w:rPr>
              <w:t>参与单位名称及人员姓名</w:t>
            </w:r>
          </w:p>
        </w:tc>
        <w:tc>
          <w:tcPr>
            <w:tcW w:w="6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23AFF">
            <w:pPr>
              <w:spacing w:before="156" w:beforeLines="50" w:after="156" w:afterLines="50"/>
              <w:rPr>
                <w:rFonts w:hint="eastAsia" w:ascii="Calibri" w:hAnsi="Calibri" w:cs="Calibri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sz w:val="24"/>
                <w:szCs w:val="24"/>
              </w:rPr>
              <w:t>参与冠昊生物202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4</w:t>
            </w:r>
            <w:r>
              <w:rPr>
                <w:sz w:val="24"/>
                <w:szCs w:val="24"/>
              </w:rPr>
              <w:t>年度业绩网上说明会的投资者</w:t>
            </w:r>
          </w:p>
        </w:tc>
      </w:tr>
      <w:tr w14:paraId="2D9036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44BFB">
            <w:pPr>
              <w:spacing w:before="156" w:beforeLines="50" w:after="156" w:afterLines="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时间</w:t>
            </w:r>
          </w:p>
        </w:tc>
        <w:tc>
          <w:tcPr>
            <w:tcW w:w="6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930C5C">
            <w:pPr>
              <w:spacing w:before="156" w:beforeLines="50" w:after="156" w:afterLines="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/>
                <w:sz w:val="24"/>
                <w:szCs w:val="24"/>
              </w:rPr>
              <w:t>日15:00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-</w:t>
            </w:r>
            <w:r>
              <w:rPr>
                <w:rFonts w:hint="eastAsia"/>
                <w:sz w:val="24"/>
                <w:szCs w:val="24"/>
              </w:rPr>
              <w:t>17:00</w:t>
            </w:r>
          </w:p>
        </w:tc>
      </w:tr>
      <w:tr w14:paraId="0F9D3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01C941">
            <w:pPr>
              <w:spacing w:before="156" w:beforeLines="50" w:after="156" w:afterLines="5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地点</w:t>
            </w:r>
          </w:p>
        </w:tc>
        <w:tc>
          <w:tcPr>
            <w:tcW w:w="6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E372F3">
            <w:pPr>
              <w:spacing w:before="156" w:beforeLines="50" w:after="156" w:afterLines="50"/>
              <w:rPr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全景网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“</w:t>
            </w:r>
            <w:r>
              <w:rPr>
                <w:rFonts w:ascii="宋体" w:hAnsi="宋体" w:eastAsia="宋体" w:cs="宋体"/>
                <w:sz w:val="24"/>
                <w:szCs w:val="24"/>
              </w:rPr>
              <w:t>投资者关系互动平台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”</w:t>
            </w:r>
            <w:r>
              <w:rPr>
                <w:rFonts w:ascii="宋体" w:hAnsi="宋体" w:eastAsia="宋体" w:cs="宋体"/>
                <w:sz w:val="24"/>
                <w:szCs w:val="24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http://ir.p5w.net</w:t>
            </w:r>
            <w:r>
              <w:rPr>
                <w:rFonts w:ascii="宋体" w:hAnsi="宋体" w:eastAsia="宋体" w:cs="宋体"/>
                <w:sz w:val="24"/>
                <w:szCs w:val="24"/>
              </w:rPr>
              <w:t>）</w:t>
            </w:r>
          </w:p>
        </w:tc>
      </w:tr>
      <w:tr w14:paraId="3BBD5F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FC7B85">
            <w:pPr>
              <w:spacing w:line="480" w:lineRule="atLeast"/>
              <w:jc w:val="center"/>
              <w:rPr>
                <w:bCs/>
                <w:iCs/>
                <w:sz w:val="24"/>
              </w:rPr>
            </w:pPr>
            <w:r>
              <w:rPr>
                <w:bCs/>
                <w:iCs/>
                <w:sz w:val="24"/>
              </w:rPr>
              <w:t>上市公司接待人员姓名</w:t>
            </w:r>
          </w:p>
        </w:tc>
        <w:tc>
          <w:tcPr>
            <w:tcW w:w="6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F7DC7B">
            <w:pPr>
              <w:spacing w:line="48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董事长 张永明先生</w:t>
            </w:r>
          </w:p>
          <w:p w14:paraId="64728143">
            <w:pPr>
              <w:spacing w:line="480" w:lineRule="atLeast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独立董事 韩俊梅女士</w:t>
            </w:r>
            <w:r>
              <w:rPr>
                <w:rFonts w:hint="eastAsia"/>
                <w:sz w:val="24"/>
                <w:lang w:eastAsia="zh-CN"/>
              </w:rPr>
              <w:t>、</w:t>
            </w:r>
            <w:r>
              <w:rPr>
                <w:rFonts w:hint="eastAsia"/>
                <w:sz w:val="24"/>
                <w:lang w:val="en-US" w:eastAsia="zh-CN"/>
              </w:rPr>
              <w:t>邓超先生</w:t>
            </w:r>
          </w:p>
          <w:p w14:paraId="353DD5E7">
            <w:pPr>
              <w:spacing w:line="480" w:lineRule="atLeast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副总经理</w:t>
            </w:r>
            <w:r>
              <w:rPr>
                <w:rFonts w:hint="eastAsia"/>
                <w:sz w:val="24"/>
                <w:lang w:eastAsia="zh-CN"/>
              </w:rPr>
              <w:t>、</w:t>
            </w:r>
            <w:r>
              <w:rPr>
                <w:rFonts w:hint="eastAsia"/>
                <w:sz w:val="24"/>
              </w:rPr>
              <w:t xml:space="preserve">董事会秘书 </w:t>
            </w:r>
            <w:r>
              <w:rPr>
                <w:rFonts w:hint="eastAsia"/>
                <w:sz w:val="24"/>
                <w:lang w:val="en-US" w:eastAsia="zh-CN"/>
              </w:rPr>
              <w:t>徐庆荣先生</w:t>
            </w:r>
          </w:p>
          <w:p w14:paraId="0CAFB743">
            <w:pPr>
              <w:spacing w:after="156" w:afterLines="50" w:line="480" w:lineRule="atLeas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财务负责人 </w:t>
            </w:r>
            <w:r>
              <w:rPr>
                <w:rFonts w:hint="eastAsia"/>
                <w:sz w:val="24"/>
                <w:lang w:val="en-US" w:eastAsia="zh-CN"/>
              </w:rPr>
              <w:t>易若峰</w:t>
            </w:r>
            <w:r>
              <w:rPr>
                <w:rFonts w:hint="eastAsia"/>
                <w:sz w:val="24"/>
              </w:rPr>
              <w:t>先生</w:t>
            </w:r>
          </w:p>
        </w:tc>
      </w:tr>
      <w:tr w14:paraId="30A3DF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36F69">
            <w:pPr>
              <w:spacing w:line="480" w:lineRule="atLeast"/>
              <w:jc w:val="center"/>
              <w:rPr>
                <w:bCs/>
                <w:iCs/>
                <w:sz w:val="24"/>
              </w:rPr>
            </w:pPr>
            <w:r>
              <w:rPr>
                <w:bCs/>
                <w:iCs/>
                <w:sz w:val="24"/>
              </w:rPr>
              <w:t>投资者关系活动主要内容介绍</w:t>
            </w:r>
          </w:p>
        </w:tc>
        <w:tc>
          <w:tcPr>
            <w:tcW w:w="6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0EE08D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 w:eastAsia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/>
                <w:bCs/>
                <w:sz w:val="24"/>
                <w:szCs w:val="24"/>
              </w:rPr>
              <w:t>为便于广大投资者能够更加全面、深入了解公司的生产经营情况，公司于202</w:t>
            </w:r>
            <w:r>
              <w:rPr>
                <w:rFonts w:hint="eastAsia"/>
                <w:bCs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/>
                <w:bCs/>
                <w:sz w:val="24"/>
                <w:szCs w:val="24"/>
              </w:rPr>
              <w:t>年</w:t>
            </w:r>
            <w:r>
              <w:rPr>
                <w:rFonts w:hint="eastAsia"/>
                <w:bCs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/>
                <w:bCs/>
                <w:sz w:val="24"/>
                <w:szCs w:val="24"/>
              </w:rPr>
              <w:t>月</w:t>
            </w:r>
            <w:r>
              <w:rPr>
                <w:rFonts w:hint="eastAsia"/>
                <w:bCs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/>
                <w:bCs/>
                <w:sz w:val="24"/>
                <w:szCs w:val="24"/>
              </w:rPr>
              <w:t>日下午15:00-17:00在</w:t>
            </w:r>
            <w:r>
              <w:rPr>
                <w:rFonts w:ascii="宋体" w:hAnsi="宋体" w:eastAsia="宋体" w:cs="宋体"/>
                <w:sz w:val="24"/>
                <w:szCs w:val="24"/>
              </w:rPr>
              <w:t>全景网投资者关系互动平台（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http://ir.p5w.net</w:t>
            </w:r>
            <w:r>
              <w:rPr>
                <w:rFonts w:ascii="宋体" w:hAnsi="宋体" w:eastAsia="宋体" w:cs="宋体"/>
                <w:sz w:val="24"/>
                <w:szCs w:val="24"/>
              </w:rPr>
              <w:t>）</w:t>
            </w:r>
            <w:r>
              <w:rPr>
                <w:rFonts w:hint="eastAsia"/>
                <w:bCs/>
                <w:sz w:val="24"/>
                <w:szCs w:val="24"/>
              </w:rPr>
              <w:t>举行202</w:t>
            </w:r>
            <w:r>
              <w:rPr>
                <w:rFonts w:hint="eastAsia"/>
                <w:bCs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/>
                <w:bCs/>
                <w:sz w:val="24"/>
                <w:szCs w:val="24"/>
              </w:rPr>
              <w:t>年度业绩网上说明会，利用网上路演平台与投资者进行了沟通交流。</w:t>
            </w:r>
            <w:r>
              <w:rPr>
                <w:rFonts w:hint="eastAsia"/>
                <w:bCs/>
                <w:sz w:val="24"/>
                <w:szCs w:val="24"/>
                <w:highlight w:val="none"/>
              </w:rPr>
              <w:t>以下为</w:t>
            </w:r>
            <w:r>
              <w:rPr>
                <w:rFonts w:hint="eastAsia"/>
                <w:bCs/>
                <w:sz w:val="24"/>
                <w:szCs w:val="24"/>
              </w:rPr>
              <w:t>此次业绩说明会的主要内容</w:t>
            </w:r>
            <w:r>
              <w:rPr>
                <w:rFonts w:hint="eastAsia"/>
                <w:bCs/>
                <w:sz w:val="24"/>
                <w:szCs w:val="24"/>
                <w:lang w:eastAsia="zh-CN"/>
              </w:rPr>
              <w:t>：</w:t>
            </w:r>
          </w:p>
          <w:p w14:paraId="376D98E2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领导，您好！我来自四川大决策</w:t>
            </w:r>
            <w:r>
              <w:rPr>
                <w:rFonts w:hint="eastAsia"/>
                <w:b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/>
                <w:b/>
                <w:sz w:val="24"/>
                <w:szCs w:val="24"/>
                <w:highlight w:val="none"/>
              </w:rPr>
              <w:t>请问公司产品相对分散，未来会不会把毛利较高的产品作为重点发展。​</w:t>
            </w:r>
          </w:p>
          <w:p w14:paraId="3E1A8679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none"/>
              </w:rPr>
              <w:t>答：</w:t>
            </w:r>
            <w:r>
              <w:rPr>
                <w:rFonts w:hint="eastAsia"/>
                <w:sz w:val="24"/>
                <w:szCs w:val="24"/>
                <w:highlight w:val="none"/>
              </w:rPr>
              <w:t>尊敬的投资者您好！关于未来产品策略，公司将在综合评估行业、市场等情况的基础上，结合公司实际持续优化产品结构，以切实保障公司持续健康发展。感谢您的关注与支持！</w:t>
            </w:r>
          </w:p>
          <w:p w14:paraId="6C58652E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高管您好，请问贵公司本期财务报告中，盈利表现如何？谢谢。</w:t>
            </w:r>
          </w:p>
          <w:p w14:paraId="44413111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>答：</w:t>
            </w:r>
            <w:r>
              <w:rPr>
                <w:rFonts w:hint="eastAsia"/>
                <w:sz w:val="24"/>
                <w:szCs w:val="24"/>
                <w:highlight w:val="none"/>
              </w:rPr>
              <w:t>尊敬的投资者您好！2024年度公司实现营业收入37,748.31万元；利润总额为2,801.93万元；归属上市公司股东的净利润为2,741.69万元。感谢您的关注与支持！</w:t>
            </w:r>
          </w:p>
          <w:p w14:paraId="2F88A0BF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定向增发价格比现在股价低，对目前持有股票的人公平吗，为什么还不实施增发！</w:t>
            </w:r>
          </w:p>
          <w:p w14:paraId="16F1B60F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>答：</w:t>
            </w:r>
            <w:r>
              <w:rPr>
                <w:rFonts w:hint="eastAsia"/>
                <w:sz w:val="24"/>
                <w:szCs w:val="24"/>
                <w:highlight w:val="none"/>
              </w:rPr>
              <w:t>尊敬的投资者您好！公司本次定向增发价格严格依据相关规则确定，符合监管政策规定和公司长远发展需要；目前增发相关工作正按计划推进，公司将及时履行信息披露义务。感谢您的关注与支持！</w:t>
            </w:r>
          </w:p>
          <w:p w14:paraId="678B7855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管理团队您好，公司于2025年4月18日发布增发事宜回复函公告，但是根据深交所定增公开查询页面，状态还是“已问询”，是公司未提交状态更新？ 还是深交所已经开始核查回复函件了？</w:t>
            </w:r>
          </w:p>
          <w:p w14:paraId="546F6993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答：尊敬的投资者您好！目前公司定增项目处于交易所问询回复阶段，公司将根据后续进展情况，严格按照相关规定及时履行信息披露义务。感谢您的关注与支持！</w:t>
            </w:r>
          </w:p>
          <w:p w14:paraId="21E4A4F3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高管您好，请问贵公司未来盈利增长的主要驱动因素有哪些？谢谢。</w:t>
            </w:r>
          </w:p>
          <w:p w14:paraId="7F1CCF0E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答：尊敬的投资者您好！公司未来盈利增长将主要依托核心产品的技术迭代升级、市场份额持续拓展，紧跟国家政策导向对新业务领域的战略布局和商业化落地。感谢您的关注与支持！</w:t>
            </w:r>
          </w:p>
          <w:p w14:paraId="527CA133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高管您好，能否请您介绍一下本期行业整体和行业内其他主要企业的业绩表现？谢谢。</w:t>
            </w:r>
          </w:p>
          <w:p w14:paraId="3B2D7A90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答：尊敬的投资者您好！在当前的市场环境下，生物医疗行业正经历着深刻的变革与发展。从行业整体来看，2024年受多种因素交织影响，呈现出复杂态势。行业内其他主要企业的业绩，请关注他们已披露的相关公告。感谢您的关注与支持！</w:t>
            </w:r>
          </w:p>
          <w:p w14:paraId="44BEF099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高管您好，请问您如何看待行业未来的发展前景？谢谢。</w:t>
            </w:r>
          </w:p>
          <w:p w14:paraId="148BF2F8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答：尊敬的投资者您好！公司在2024年度报告的第三节“管理层讨论与分析”章节有详细介绍公司所属行业情况及公司的经营情况，请您详阅年报。感谢您的关注与支持！</w:t>
            </w:r>
          </w:p>
          <w:p w14:paraId="2BCBA4F8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rFonts w:hint="eastAsia"/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欣比克湿诊三期进展怎么样了，怎么一直在拖延，是不是没有进展了</w:t>
            </w:r>
            <w:r>
              <w:rPr>
                <w:rFonts w:hint="eastAsia"/>
                <w:b/>
                <w:sz w:val="24"/>
                <w:szCs w:val="24"/>
                <w:highlight w:val="none"/>
                <w:lang w:eastAsia="zh-CN"/>
              </w:rPr>
              <w:t>？</w:t>
            </w:r>
          </w:p>
          <w:p w14:paraId="4D4D41E2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答：尊敬的投资者您好！目前公司本维莫德特应性皮炎Ⅲ期临床试验正在积极开展中，公司将根据后续进展情况，严格按照相关规定及时履行信息披露义务。感谢您的关注与支持！</w:t>
            </w:r>
          </w:p>
          <w:p w14:paraId="3049B289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rFonts w:hint="eastAsia"/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公司有开拓新业务的安排吗</w:t>
            </w:r>
            <w:r>
              <w:rPr>
                <w:rFonts w:hint="eastAsia"/>
                <w:b/>
                <w:sz w:val="24"/>
                <w:szCs w:val="24"/>
                <w:highlight w:val="none"/>
                <w:lang w:eastAsia="zh-CN"/>
              </w:rPr>
              <w:t>？</w:t>
            </w:r>
          </w:p>
          <w:p w14:paraId="10A05E4C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答：尊敬的投资者您好！公司始终专注于主营业务，未来将根据国家政策导向与行业发展趋势，结合公司发展需求积极开拓新业务。感谢您的关注与支持！</w:t>
            </w:r>
          </w:p>
          <w:p w14:paraId="3ECEE65A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rFonts w:hint="eastAsia"/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中山市天昊药业什么时候投产</w:t>
            </w:r>
            <w:r>
              <w:rPr>
                <w:rFonts w:hint="eastAsia"/>
                <w:b/>
                <w:sz w:val="24"/>
                <w:szCs w:val="24"/>
                <w:highlight w:val="none"/>
                <w:lang w:eastAsia="zh-CN"/>
              </w:rPr>
              <w:t>？</w:t>
            </w:r>
          </w:p>
          <w:p w14:paraId="792914D0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答：尊敬的投资者您好！公司中山天昊医药科技项目已于2024年竣工，将逐步开展投产计划。感谢您的关注与支持！</w:t>
            </w:r>
          </w:p>
          <w:p w14:paraId="715B5320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rFonts w:hint="eastAsia"/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管理团队您好，公司于</w:t>
            </w:r>
            <w:r>
              <w:rPr>
                <w:rFonts w:hint="eastAsia"/>
                <w:b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/>
                <w:b/>
                <w:sz w:val="24"/>
                <w:szCs w:val="24"/>
                <w:highlight w:val="none"/>
              </w:rPr>
              <w:t>025-02-28日公告前序证券事务代表辞职事项，但未见证券事务代表聘用公告，请问公司是否完成人员补充？</w:t>
            </w:r>
          </w:p>
          <w:p w14:paraId="181C86F5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答：尊敬的投资者您好！公司将严格按照相关规定，尽快聘任符合任职资格的人员担任公司证券事务代表，敬请关注公司公告。感谢您的关注与支持！</w:t>
            </w:r>
          </w:p>
          <w:p w14:paraId="3496B77F">
            <w:pPr>
              <w:numPr>
                <w:ilvl w:val="0"/>
                <w:numId w:val="1"/>
              </w:numPr>
              <w:tabs>
                <w:tab w:val="left" w:pos="1050"/>
              </w:tabs>
              <w:spacing w:before="156" w:beforeLines="50" w:line="500" w:lineRule="exact"/>
              <w:ind w:left="0" w:firstLine="482" w:firstLineChars="200"/>
              <w:rPr>
                <w:rFonts w:hint="eastAsia"/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公司各位领导</w:t>
            </w:r>
            <w:r>
              <w:rPr>
                <w:rFonts w:hint="eastAsia"/>
                <w:b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/>
                <w:b/>
                <w:sz w:val="24"/>
                <w:szCs w:val="24"/>
                <w:highlight w:val="none"/>
              </w:rPr>
              <w:t>请问贵公司股价表现这么差，是不是代表着产品没有竞争力</w:t>
            </w:r>
            <w:r>
              <w:rPr>
                <w:rFonts w:hint="eastAsia"/>
                <w:b/>
                <w:sz w:val="24"/>
                <w:szCs w:val="24"/>
                <w:highlight w:val="none"/>
                <w:lang w:eastAsia="zh-CN"/>
              </w:rPr>
              <w:t>？</w:t>
            </w:r>
          </w:p>
          <w:p w14:paraId="1849F91B">
            <w:pPr>
              <w:tabs>
                <w:tab w:val="left" w:pos="1050"/>
              </w:tabs>
              <w:spacing w:before="156" w:beforeLines="50" w:line="500" w:lineRule="exact"/>
              <w:ind w:firstLine="480" w:firstLineChars="200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答：尊敬的投资者您好！公司股票价格受二级市场等多方面因素影响，公司始终致力做好生产经营管理工作，推动公司健康可持续发展，高度重视保护投资者尤其是中小投资者的利益。感谢您的关注与支持！</w:t>
            </w:r>
          </w:p>
          <w:p w14:paraId="49E35B34">
            <w:pPr>
              <w:tabs>
                <w:tab w:val="left" w:pos="1050"/>
              </w:tabs>
              <w:spacing w:before="156" w:beforeLines="50" w:after="312" w:afterLines="100" w:line="500" w:lineRule="exact"/>
              <w:ind w:firstLine="480" w:firstLineChars="20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公司</w:t>
            </w:r>
            <w:r>
              <w:rPr>
                <w:rFonts w:hint="eastAsia"/>
                <w:sz w:val="24"/>
                <w:szCs w:val="24"/>
              </w:rPr>
              <w:t>严格遵守法律法规、《深圳证券交易所创业板股票上市规则》</w:t>
            </w:r>
            <w:bookmarkStart w:id="0" w:name="_GoBack"/>
            <w:bookmarkEnd w:id="0"/>
            <w:r>
              <w:rPr>
                <w:rFonts w:hint="eastAsia"/>
                <w:sz w:val="24"/>
                <w:szCs w:val="24"/>
              </w:rPr>
              <w:t>《深圳证券交易所上市公司自律监管指引第2号——创业板上市公司规范运作》和深圳证券交易所其他相关规定，遵循公开、公平、公正原则，客观、真实、准确、完整地介绍和反映公司的实际状况，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本次活动</w:t>
            </w:r>
            <w:r>
              <w:rPr>
                <w:rFonts w:hint="eastAsia"/>
                <w:sz w:val="24"/>
                <w:szCs w:val="24"/>
              </w:rPr>
              <w:t>不涉及应披露重大信息。</w:t>
            </w:r>
          </w:p>
        </w:tc>
      </w:tr>
      <w:tr w14:paraId="3F46F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37302">
            <w:pPr>
              <w:spacing w:before="156" w:beforeLines="50" w:after="156" w:afterLines="5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附件清单</w:t>
            </w:r>
          </w:p>
        </w:tc>
        <w:tc>
          <w:tcPr>
            <w:tcW w:w="6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EE9F6D">
            <w:pPr>
              <w:spacing w:before="156" w:beforeLines="50" w:after="156" w:afterLines="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无</w:t>
            </w:r>
          </w:p>
        </w:tc>
      </w:tr>
      <w:tr w14:paraId="27E61B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833B12">
            <w:pPr>
              <w:spacing w:before="156" w:beforeLines="50" w:after="156" w:afterLines="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日期</w:t>
            </w:r>
          </w:p>
        </w:tc>
        <w:tc>
          <w:tcPr>
            <w:tcW w:w="6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E2A0B8">
            <w:pPr>
              <w:spacing w:before="156" w:beforeLines="50" w:after="156" w:afterLines="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  <w:r>
              <w:rPr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4</w:t>
            </w:r>
            <w:r>
              <w:rPr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30</w:t>
            </w:r>
            <w:r>
              <w:rPr>
                <w:sz w:val="24"/>
                <w:szCs w:val="24"/>
              </w:rPr>
              <w:t>日</w:t>
            </w:r>
          </w:p>
        </w:tc>
      </w:tr>
    </w:tbl>
    <w:p w14:paraId="09271D97">
      <w:pPr>
        <w:rPr>
          <w:rFonts w:hint="eastAsia"/>
        </w:rPr>
      </w:pPr>
    </w:p>
    <w:sectPr>
      <w:pgSz w:w="11906" w:h="16838"/>
      <w:pgMar w:top="793" w:right="1800" w:bottom="925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430478"/>
    <w:multiLevelType w:val="multilevel"/>
    <w:tmpl w:val="31430478"/>
    <w:lvl w:ilvl="0" w:tentative="0">
      <w:start w:val="1"/>
      <w:numFmt w:val="decimal"/>
      <w:lvlText w:val="%1、"/>
      <w:lvlJc w:val="left"/>
      <w:pPr>
        <w:ind w:left="842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62" w:hanging="440"/>
      </w:pPr>
    </w:lvl>
    <w:lvl w:ilvl="2" w:tentative="0">
      <w:start w:val="1"/>
      <w:numFmt w:val="lowerRoman"/>
      <w:lvlText w:val="%3."/>
      <w:lvlJc w:val="right"/>
      <w:pPr>
        <w:ind w:left="1802" w:hanging="440"/>
      </w:pPr>
    </w:lvl>
    <w:lvl w:ilvl="3" w:tentative="0">
      <w:start w:val="1"/>
      <w:numFmt w:val="decimal"/>
      <w:lvlText w:val="%4."/>
      <w:lvlJc w:val="left"/>
      <w:pPr>
        <w:ind w:left="2242" w:hanging="440"/>
      </w:pPr>
    </w:lvl>
    <w:lvl w:ilvl="4" w:tentative="0">
      <w:start w:val="1"/>
      <w:numFmt w:val="lowerLetter"/>
      <w:lvlText w:val="%5)"/>
      <w:lvlJc w:val="left"/>
      <w:pPr>
        <w:ind w:left="2682" w:hanging="440"/>
      </w:pPr>
    </w:lvl>
    <w:lvl w:ilvl="5" w:tentative="0">
      <w:start w:val="1"/>
      <w:numFmt w:val="lowerRoman"/>
      <w:lvlText w:val="%6."/>
      <w:lvlJc w:val="right"/>
      <w:pPr>
        <w:ind w:left="3122" w:hanging="440"/>
      </w:pPr>
    </w:lvl>
    <w:lvl w:ilvl="6" w:tentative="0">
      <w:start w:val="1"/>
      <w:numFmt w:val="decimal"/>
      <w:lvlText w:val="%7."/>
      <w:lvlJc w:val="left"/>
      <w:pPr>
        <w:ind w:left="3562" w:hanging="440"/>
      </w:pPr>
    </w:lvl>
    <w:lvl w:ilvl="7" w:tentative="0">
      <w:start w:val="1"/>
      <w:numFmt w:val="lowerLetter"/>
      <w:lvlText w:val="%8)"/>
      <w:lvlJc w:val="left"/>
      <w:pPr>
        <w:ind w:left="4002" w:hanging="440"/>
      </w:pPr>
    </w:lvl>
    <w:lvl w:ilvl="8" w:tentative="0">
      <w:start w:val="1"/>
      <w:numFmt w:val="lowerRoman"/>
      <w:lvlText w:val="%9."/>
      <w:lvlJc w:val="right"/>
      <w:pPr>
        <w:ind w:left="4442" w:hanging="440"/>
      </w:pPr>
    </w:lvl>
  </w:abstractNum>
  <w:num w:numId="1">
    <w:abstractNumId w:val="0"/>
  </w:num>
</w:numbering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